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jc w:val="center"/>
        <w:rPr>
          <w:rFonts w:ascii="方正粗黑宋简体" w:hAnsi="方正粗黑宋简体" w:eastAsia="方正粗黑宋简体" w:cs="仿宋"/>
          <w:b/>
          <w:bCs/>
          <w:sz w:val="56"/>
          <w:szCs w:val="56"/>
        </w:rPr>
      </w:pP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</w:rPr>
        <w:t>黄山学院第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  <w:lang w:val="en-US" w:eastAsia="zh-CN"/>
        </w:rPr>
        <w:t>五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</w:rPr>
        <w:t>届“听松”杯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  <w:lang w:val="en-US" w:eastAsia="zh-CN"/>
        </w:rPr>
        <w:t>大学生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</w:rPr>
        <w:t>足球赛秩序册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一、举办单位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主办单位：校体委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承办单位：体育学院 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32"/>
          <w:szCs w:val="32"/>
        </w:rPr>
        <w:t xml:space="preserve">大学生足球协会  </w:t>
      </w:r>
    </w:p>
    <w:p>
      <w:pPr>
        <w:spacing w:line="620" w:lineRule="exact"/>
        <w:ind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二、竞赛时间和地点</w:t>
      </w:r>
    </w:p>
    <w:p>
      <w:pPr>
        <w:spacing w:line="6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30日开始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地点：黄山学院率水校区第二塑胶运动场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三、参赛单位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全校各学院、校教职工足球协会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四、竞赛项目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男子11人制足球、女子7人制足球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五、运动员资格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（一）学生运动员为已在中国高等教育学生信息网（学信网）进行学籍注册的、我校普通高校全日制学生。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（二）教职工运动员为黄山学院工会会员。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（三）思想进步，遵守运动员守则，经昌仁医院体检（由各学院组织，校体委统一结算体检费用，具体体检时间另行通知），证明身体健康者。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六、参加方法</w:t>
      </w:r>
    </w:p>
    <w:p>
      <w:pPr>
        <w:spacing w:line="620" w:lineRule="exact"/>
        <w:rPr>
          <w:rFonts w:ascii="仿宋" w:hAnsi="仿宋" w:eastAsia="仿宋" w:cs="仿宋"/>
          <w:b/>
          <w:bCs/>
          <w:iCs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　　（一）男子、女子各队可报领队1人(学生队原则上由分管学生工作领导或学院党政主要领导担任，教职工代表队原则上由协会会长担任)、教练1人、男子运动员不超过25人、女子运动员不超过15人。</w:t>
      </w:r>
      <w:bookmarkStart w:id="0" w:name="_Hlk55924656"/>
    </w:p>
    <w:bookmarkEnd w:id="0"/>
    <w:p>
      <w:p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（二）运动员报名后不得无故弃权。比赛竞赛组将对无故弃权的情况进行通报，优秀组织奖和道德风尚奖评选中不予考虑。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各二级院队队员不得跨学院组队。</w:t>
      </w:r>
    </w:p>
    <w:p>
      <w:pPr>
        <w:spacing w:line="62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（四）受疫情影响，各学院不能组建啦啦队等非必要人员进入场地。</w:t>
      </w:r>
    </w:p>
    <w:p>
      <w:pPr>
        <w:spacing w:line="620" w:lineRule="exact"/>
        <w:ind w:firstLine="64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七、第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届“听松杯”男子足球比赛竞赛办法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（一）本次校第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届“听松杯”男子足球赛分为二阶段；第一阶段是分组循环积分制。常规时间赢球得三分、输球不得分、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平局各得一分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。第二阶段是按积分排出每组名次，每组积分排一二名的打一至四名排位赛、每组积分排三四名的打五至八名排位赛。教职工队的比赛记入成绩，最终排名不占学生名额。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(二)小组循环赛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本次比赛分A、B两个小组。根据报名情况采用抽签方式确定分组，通过循环赛决出各队循环赛积分。A、B两组分别设立一个种子队，种子队为上年度的前两名队伍(本次采用校第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届“听松杯”的竞赛成绩)，如前两名的队伍有不参加本次比赛的，则种子队将依次顺延。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（三）交叉淘汰赛</w:t>
      </w:r>
    </w:p>
    <w:p>
      <w:pPr>
        <w:pStyle w:val="5"/>
        <w:widowControl/>
        <w:spacing w:line="324" w:lineRule="atLeast"/>
        <w:rPr>
          <w:rFonts w:hint="eastAsia" w:ascii="-webkit-standard" w:hAnsi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根据小组循环赛的积分成绩进行排位赛，每组积分前二的队伍打1至4名排位赛，决出前4名。每组积分三四的队伍打5至8名排位赛，决出5至8名。采取A对B交叉，交叉淘汰赛如打成平局，不进行加时赛，直接以罚球点球的办法决出胜负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（四）决定名次办法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　1.淘汰赛每场比赛均决出胜负，规定比赛时间内决出胜负。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2.小组赛根据积分、净胜球、相互比赛进球及净胜球、红黄牌等确定。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如果两队或两队以上积分相等，依下列顺序排列名次：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积分相等队之间相互比赛积分多者，名次列前；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积分相等队之间相互比赛净胜球多者，名次列前；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积分相等队之间相互比赛进球数多者，名次列前；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积分相等队在全部比赛中净胜球多者，名次列前；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积分相等队在全部比赛中进球数多者，名次列前；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积分相等队在全部比赛中得红黄牌少的，名次列前；</w:t>
      </w:r>
    </w:p>
    <w:p>
      <w:pPr>
        <w:pStyle w:val="5"/>
        <w:widowControl/>
        <w:spacing w:line="324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如再相同，以抽签的办法决定名次。</w:t>
      </w:r>
    </w:p>
    <w:p>
      <w:pPr>
        <w:pStyle w:val="5"/>
        <w:widowControl/>
        <w:spacing w:line="324" w:lineRule="atLeas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八、</w:t>
      </w:r>
      <w:r>
        <w:rPr>
          <w:rFonts w:ascii="黑体" w:hAnsi="黑体" w:eastAsia="黑体" w:cs="仿宋"/>
          <w:b/>
          <w:bCs/>
          <w:sz w:val="32"/>
          <w:szCs w:val="32"/>
        </w:rPr>
        <w:t>女子足球比赛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竟赛办法</w:t>
      </w:r>
    </w:p>
    <w:p>
      <w:pPr>
        <w:pStyle w:val="5"/>
        <w:widowControl/>
        <w:spacing w:line="324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（一）与男子竞赛办法相同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（二）一场比赛应由两队参加，每队上场队员不得多于7人，其中必须有1人为守门员。如果比赛前任何一队队员少于4人或在比赛中队员被罚出场致使场内队员少于4人时，该场比赛队员少的队为弃权，对方3:0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获胜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每场比赛准许换三个人。</w:t>
      </w:r>
      <w:r>
        <w:rPr>
          <w:rFonts w:ascii="-webkit-standard" w:hAnsi="-webkit-standard" w:eastAsia="-webkit-standard" w:cs="-webkit-standard"/>
          <w:color w:val="000000"/>
          <w:sz w:val="30"/>
          <w:szCs w:val="30"/>
        </w:rPr>
        <w:t> 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（三）队员装备</w:t>
      </w:r>
    </w:p>
    <w:p>
      <w:pPr>
        <w:pStyle w:val="5"/>
        <w:widowControl/>
        <w:spacing w:line="324" w:lineRule="atLeast"/>
        <w:ind w:firstLine="600" w:firstLineChars="200"/>
        <w:rPr>
          <w:rFonts w:hint="eastAsia" w:ascii="-webkit-standard" w:hAnsi="-webkit-standard" w:eastAsia="仿宋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运动员上场不准穿钢钉足球鞋，队员服装统一，需准备深浅各一套足球服，号码必须固定，队长戴袖标。其它参照最新国际足联规则。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（四）比赛时间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1、某队迟到15分钟以上按自动弃权处理，判该队本场比赛0：3负。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2、女子比赛采取七人制，使用五号足球，比赛时间为60分钟，分为上、下半场，各30分钟。在每半场比赛结束时，如因执行罚点球，应允许延长时间执行罚完点球为止。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3、上下半场之间的休息时间不得超过10分钟。</w:t>
      </w:r>
    </w:p>
    <w:p>
      <w:pPr>
        <w:pStyle w:val="5"/>
        <w:widowControl/>
        <w:spacing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4、半决赛及决赛，若在比赛时间内不能决出胜负，立即进行球点球决战。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九、规则与规定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（一）参照执行国际足联最新审定的《足球竞赛规则》。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（二）男子比赛采取11人制，使用5号球。比赛时间为90分钟，上、下半场各45分钟，中场休息时间最多不超过15分钟。</w:t>
      </w:r>
    </w:p>
    <w:p>
      <w:pPr>
        <w:spacing w:line="620" w:lineRule="exact"/>
        <w:rPr>
          <w:rFonts w:ascii="仿宋" w:hAnsi="仿宋" w:eastAsia="仿宋" w:cs="仿宋"/>
          <w:iCs/>
          <w:sz w:val="32"/>
          <w:szCs w:val="32"/>
          <w:u w:val="single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（三）比赛大名单人数不得多于25人，可上报替补名单不得多于7人，最多可替换5名运动员上场，</w:t>
      </w:r>
      <w:r>
        <w:rPr>
          <w:rFonts w:hint="eastAsia" w:ascii="仿宋" w:hAnsi="仿宋" w:eastAsia="仿宋" w:cs="仿宋"/>
          <w:b/>
          <w:bCs/>
          <w:iCs/>
          <w:sz w:val="32"/>
          <w:szCs w:val="32"/>
          <w:u w:val="single"/>
        </w:rPr>
        <w:t>被替换下场的运动员不得重新替换上场。赛前没有填写上场名单的运动员不得参加该场比赛。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（四）第一阶段红、黄牌累计计算。在一场比赛中，运动员被出示一张红牌或累计两张黄牌，自然停止下场比赛（如情节特别严重，组委会将追加处罚）。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五）如果一个队在比赛中，场上队员不足7人时，比赛自然终止，该队为弃权，判对方3:0胜；（六）每队至少备有两套颜色不同的比赛服装和护袜。守门员的比赛服装颜色要与其他队员服装颜色有明显区别；场上队长须自备6厘米宽与上衣颜色有明显区别的袖标；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全队比赛服装和护袜颜色必须一致并佩戴护腿板（守门员服装和护袜颜色除外）</w:t>
      </w:r>
      <w:r>
        <w:rPr>
          <w:rFonts w:hint="eastAsia" w:ascii="仿宋" w:hAnsi="仿宋" w:eastAsia="仿宋" w:cs="仿宋"/>
          <w:sz w:val="32"/>
          <w:szCs w:val="32"/>
        </w:rPr>
        <w:t>，运动员一律穿胶钉足球鞋进行比赛。违者不得上场比赛。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（七）如因特殊情况的干扰而造成比赛中断，经组委会经多方努力仍未能恢复比赛，当时的比赛成绩有效，大会必须尽快（48小时内）另选场次补足比赛时间（包括罚点球）。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八）无论出于何种情况，教练员、运动队（员）在场上不服从裁判员判罚，在裁判员宣布继续比赛后，仍不恢复比赛，致使比赛延误或中断超过5分钟的，即判为罢赛。运动员在比赛结束后出现拒绝退场、拒绝领奖的，其行为等同于罢赛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仿宋" w:asciiTheme="minorEastAsia" w:hAnsiTheme="minor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（九）凡无故弃权的罢赛，以前赛项获得的成绩无效，并取消其参加以后项目的比赛资格。</w:t>
      </w:r>
    </w:p>
    <w:p>
      <w:pPr>
        <w:spacing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十、报名及相关事宜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eastAsia="仿宋" w:cs="仿宋" w:asciiTheme="minorEastAsia" w:hAnsiTheme="minorEastAsia"/>
          <w:sz w:val="44"/>
          <w:szCs w:val="44"/>
        </w:rPr>
        <w:t> </w:t>
      </w:r>
      <w:r>
        <w:rPr>
          <w:rFonts w:ascii="仿宋" w:hAnsi="仿宋" w:eastAsia="仿宋" w:cs="仿宋"/>
          <w:color w:val="000000"/>
          <w:sz w:val="32"/>
          <w:szCs w:val="32"/>
        </w:rPr>
        <w:t>（一）报名规定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 1.每所学院限报1支男队和1支女子队。参赛代表队以学院为单位组队，全校教职工队限报1支队伍。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2.一名运动员只能参加一个队的比赛。</w:t>
      </w:r>
    </w:p>
    <w:p>
      <w:pPr>
        <w:pStyle w:val="5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3.报名后，不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更换教练员、运动员。</w:t>
      </w:r>
    </w:p>
    <w:p>
      <w:pPr>
        <w:pStyle w:val="5"/>
        <w:widowControl/>
        <w:spacing w:line="324" w:lineRule="atLeast"/>
        <w:ind w:firstLine="320" w:firstLineChars="100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（二）报名办法</w:t>
      </w:r>
    </w:p>
    <w:p>
      <w:pPr>
        <w:spacing w:line="360" w:lineRule="auto"/>
        <w:ind w:firstLine="800" w:firstLineChars="250"/>
        <w:rPr>
          <w:rFonts w:hint="default" w:ascii="仿宋_GB2312" w:hAnsi="宋体" w:eastAsia="仿宋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请各参赛队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于4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上午十一点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前将纸质报名表加盖学院公章后交至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大学生足球协会会长体育学院陈结龙处。参赛证明于比赛前交至体育学院三楼302体委办公室张海波老师处。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本次比赛</w:t>
      </w:r>
      <w:r>
        <w:rPr>
          <w:rFonts w:hint="eastAsia" w:ascii="仿宋" w:hAnsi="仿宋" w:eastAsia="仿宋"/>
          <w:b/>
          <w:sz w:val="32"/>
          <w:szCs w:val="32"/>
        </w:rPr>
        <w:t>最终解释权归黄山学院体育学院。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、未尽事宜，另行通知。</w:t>
      </w:r>
    </w:p>
    <w:p>
      <w:pPr>
        <w:widowControl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ind w:firstLine="4480" w:firstLineChars="1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黄山学院体育运动委员会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2022年4月25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019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12"/>
    <w:rsid w:val="00100D1A"/>
    <w:rsid w:val="0023079B"/>
    <w:rsid w:val="002C04FA"/>
    <w:rsid w:val="00582CEA"/>
    <w:rsid w:val="005A61E6"/>
    <w:rsid w:val="005C3E08"/>
    <w:rsid w:val="0067171A"/>
    <w:rsid w:val="006870F8"/>
    <w:rsid w:val="006B3560"/>
    <w:rsid w:val="006E2AD8"/>
    <w:rsid w:val="0075288D"/>
    <w:rsid w:val="00804212"/>
    <w:rsid w:val="00875978"/>
    <w:rsid w:val="008B40B1"/>
    <w:rsid w:val="00906712"/>
    <w:rsid w:val="00931BD2"/>
    <w:rsid w:val="009D592C"/>
    <w:rsid w:val="00B27019"/>
    <w:rsid w:val="00B34F60"/>
    <w:rsid w:val="00B36925"/>
    <w:rsid w:val="00BB67F2"/>
    <w:rsid w:val="00CA6B87"/>
    <w:rsid w:val="00CC4E4E"/>
    <w:rsid w:val="00CE36DD"/>
    <w:rsid w:val="00D10773"/>
    <w:rsid w:val="00DB3BBC"/>
    <w:rsid w:val="00E43AE0"/>
    <w:rsid w:val="00E52DB8"/>
    <w:rsid w:val="00E724C5"/>
    <w:rsid w:val="00ED2079"/>
    <w:rsid w:val="00FF66F2"/>
    <w:rsid w:val="02924A37"/>
    <w:rsid w:val="04DC68A6"/>
    <w:rsid w:val="050B6D23"/>
    <w:rsid w:val="06576AA9"/>
    <w:rsid w:val="075B5D40"/>
    <w:rsid w:val="080261BB"/>
    <w:rsid w:val="0AEC065B"/>
    <w:rsid w:val="0C750578"/>
    <w:rsid w:val="0DEA0FA0"/>
    <w:rsid w:val="0EC372C8"/>
    <w:rsid w:val="0EEE6203"/>
    <w:rsid w:val="0F7B4707"/>
    <w:rsid w:val="11F8740F"/>
    <w:rsid w:val="12BC165D"/>
    <w:rsid w:val="13854144"/>
    <w:rsid w:val="14956E31"/>
    <w:rsid w:val="149E34DC"/>
    <w:rsid w:val="14BC1F8D"/>
    <w:rsid w:val="14BC3B96"/>
    <w:rsid w:val="152C2AC9"/>
    <w:rsid w:val="152D239E"/>
    <w:rsid w:val="16E42F30"/>
    <w:rsid w:val="18301ACB"/>
    <w:rsid w:val="19AA66B3"/>
    <w:rsid w:val="1A400DC5"/>
    <w:rsid w:val="1A51780C"/>
    <w:rsid w:val="1B1738D4"/>
    <w:rsid w:val="1B3F65D3"/>
    <w:rsid w:val="1B6F3710"/>
    <w:rsid w:val="1DC33073"/>
    <w:rsid w:val="1E595651"/>
    <w:rsid w:val="1F9F20EA"/>
    <w:rsid w:val="21837F15"/>
    <w:rsid w:val="218617B3"/>
    <w:rsid w:val="21A63C04"/>
    <w:rsid w:val="22625D7D"/>
    <w:rsid w:val="26977FBF"/>
    <w:rsid w:val="26D04B39"/>
    <w:rsid w:val="287405B8"/>
    <w:rsid w:val="296F1A6D"/>
    <w:rsid w:val="29B94FF4"/>
    <w:rsid w:val="2A9750B3"/>
    <w:rsid w:val="2BB43177"/>
    <w:rsid w:val="2C3877FD"/>
    <w:rsid w:val="2DD438A6"/>
    <w:rsid w:val="2E450300"/>
    <w:rsid w:val="2FF2334C"/>
    <w:rsid w:val="309335A5"/>
    <w:rsid w:val="31532D34"/>
    <w:rsid w:val="31D245A1"/>
    <w:rsid w:val="32B156C3"/>
    <w:rsid w:val="33A67A93"/>
    <w:rsid w:val="354F6177"/>
    <w:rsid w:val="36FD1C78"/>
    <w:rsid w:val="376E08C8"/>
    <w:rsid w:val="37756DD4"/>
    <w:rsid w:val="37ED3EE3"/>
    <w:rsid w:val="38190275"/>
    <w:rsid w:val="3E0D0E3B"/>
    <w:rsid w:val="3E344832"/>
    <w:rsid w:val="3E5C6897"/>
    <w:rsid w:val="3EFE69D5"/>
    <w:rsid w:val="3F226D2F"/>
    <w:rsid w:val="409B4BA7"/>
    <w:rsid w:val="40CE4C55"/>
    <w:rsid w:val="414A73BA"/>
    <w:rsid w:val="422E75D1"/>
    <w:rsid w:val="4267380F"/>
    <w:rsid w:val="439A517D"/>
    <w:rsid w:val="446F7A2D"/>
    <w:rsid w:val="47F6649C"/>
    <w:rsid w:val="47FB61A8"/>
    <w:rsid w:val="4823125B"/>
    <w:rsid w:val="486F44A0"/>
    <w:rsid w:val="49117C3E"/>
    <w:rsid w:val="49290AF3"/>
    <w:rsid w:val="4A842484"/>
    <w:rsid w:val="4AC61A64"/>
    <w:rsid w:val="4AF900A7"/>
    <w:rsid w:val="4C384C9A"/>
    <w:rsid w:val="4DA12C45"/>
    <w:rsid w:val="500B0F52"/>
    <w:rsid w:val="52036385"/>
    <w:rsid w:val="523522B6"/>
    <w:rsid w:val="53BD25A2"/>
    <w:rsid w:val="58134E48"/>
    <w:rsid w:val="588E0972"/>
    <w:rsid w:val="5B525C87"/>
    <w:rsid w:val="5B7A55AC"/>
    <w:rsid w:val="5B9B762E"/>
    <w:rsid w:val="5C476167"/>
    <w:rsid w:val="5C5679F9"/>
    <w:rsid w:val="5E510478"/>
    <w:rsid w:val="5FAC1819"/>
    <w:rsid w:val="5FDC793B"/>
    <w:rsid w:val="6218383C"/>
    <w:rsid w:val="64300B2F"/>
    <w:rsid w:val="64427B6B"/>
    <w:rsid w:val="645C70CA"/>
    <w:rsid w:val="650224CC"/>
    <w:rsid w:val="65923BA5"/>
    <w:rsid w:val="66611474"/>
    <w:rsid w:val="66D24120"/>
    <w:rsid w:val="6808604B"/>
    <w:rsid w:val="68525518"/>
    <w:rsid w:val="6A212628"/>
    <w:rsid w:val="6CCA3844"/>
    <w:rsid w:val="6D0F39D8"/>
    <w:rsid w:val="6D2E23FA"/>
    <w:rsid w:val="6EB26D11"/>
    <w:rsid w:val="721F4604"/>
    <w:rsid w:val="73463ECB"/>
    <w:rsid w:val="73A806E2"/>
    <w:rsid w:val="7407365B"/>
    <w:rsid w:val="74583EB6"/>
    <w:rsid w:val="76BB697E"/>
    <w:rsid w:val="77640DC4"/>
    <w:rsid w:val="79490272"/>
    <w:rsid w:val="7987241D"/>
    <w:rsid w:val="798C04CB"/>
    <w:rsid w:val="7CAD1B2D"/>
    <w:rsid w:val="7DC83F04"/>
    <w:rsid w:val="7F945FBF"/>
    <w:rsid w:val="7FDF3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2341</Words>
  <Characters>2375</Characters>
  <Lines>37</Lines>
  <Paragraphs>10</Paragraphs>
  <TotalTime>1</TotalTime>
  <ScaleCrop>false</ScaleCrop>
  <LinksUpToDate>false</LinksUpToDate>
  <CharactersWithSpaces>2477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2021-03-06T21:32:00Z</dcterms:created>
  <dc:creator>噢噢</dc:creator>
  <cp:lastModifiedBy>318国道张道长</cp:lastModifiedBy>
  <cp:lastPrinted>2021-03-09T02:18:00Z</cp:lastPrinted>
  <dcterms:modified xsi:type="dcterms:W3CDTF">2022-04-26T10:18:53Z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19377794FB3D4C5286F961E828264E21</vt:lpwstr>
  </property>
</Properties>
</file>